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Ind w:w="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709"/>
        <w:gridCol w:w="3350"/>
        <w:gridCol w:w="2290"/>
        <w:gridCol w:w="1041"/>
        <w:gridCol w:w="2476"/>
      </w:tblGrid>
      <w:tr w:rsidR="005B3821" w:rsidTr="007A4D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1.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Identificazione della sostanza/preparato e della società/impresa</w:t>
            </w:r>
          </w:p>
        </w:tc>
      </w:tr>
      <w:tr w:rsidR="005B3821" w:rsidTr="007A4D9C">
        <w:trPr>
          <w:cantSplit/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pStyle w:val="berschrift3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Identificazione della sostanza o del preparato</w:t>
            </w:r>
          </w:p>
        </w:tc>
      </w:tr>
      <w:tr w:rsidR="005B3821" w:rsidTr="007A4D9C">
        <w:trPr>
          <w:cantSplit/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</w:rPr>
            </w:pPr>
          </w:p>
        </w:tc>
        <w:tc>
          <w:tcPr>
            <w:tcW w:w="9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Denominazione della norma:</w:t>
            </w:r>
          </w:p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Calcestruzzo fresco </w:t>
            </w:r>
            <w:r w:rsidR="00583C8D">
              <w:rPr>
                <w:rFonts w:ascii="Verdana" w:hAnsi="Verdana"/>
                <w:sz w:val="22"/>
              </w:rPr>
              <w:t>(SN EN 206</w:t>
            </w:r>
            <w:r>
              <w:rPr>
                <w:rFonts w:ascii="Verdana" w:hAnsi="Verdana"/>
                <w:sz w:val="22"/>
              </w:rPr>
              <w:t>) Malta fresca (SN EN 998-2)</w:t>
            </w:r>
          </w:p>
          <w:p w:rsidR="00295AC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Nome commerciale:</w:t>
            </w:r>
          </w:p>
          <w:p w:rsidR="005B3821" w:rsidRDefault="005B3821">
            <w:pPr>
              <w:keepLines/>
              <w:spacing w:line="312" w:lineRule="exact"/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calcestruzzo, malta</w:t>
            </w:r>
          </w:p>
        </w:tc>
      </w:tr>
      <w:tr w:rsidR="005B3821" w:rsidTr="007A4D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821" w:rsidRDefault="005B3821">
            <w:pPr>
              <w:keepNext/>
              <w:spacing w:before="40" w:after="40" w:line="312" w:lineRule="exact"/>
              <w:outlineLvl w:val="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pStyle w:val="berschrift3"/>
              <w:keepLines w:val="0"/>
              <w:tabs>
                <w:tab w:val="left" w:pos="2340"/>
              </w:tabs>
              <w:spacing w:before="40" w:after="4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Impiego della sostanza/del preparato</w:t>
            </w:r>
          </w:p>
        </w:tc>
      </w:tr>
      <w:tr w:rsidR="005B3821" w:rsidTr="007A4D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821" w:rsidRDefault="005B3821">
            <w:pPr>
              <w:keepNext/>
              <w:spacing w:before="40" w:after="40" w:line="312" w:lineRule="exact"/>
              <w:outlineLvl w:val="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1.2.1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pStyle w:val="berschrift3"/>
              <w:keepLines w:val="0"/>
              <w:tabs>
                <w:tab w:val="left" w:pos="2340"/>
              </w:tabs>
              <w:spacing w:before="40" w:after="4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Il calcestruzzo viene prodotto dalle materie prime cemento, acqua, pietrame granulato e additivi e funge da materiale edile.</w:t>
            </w:r>
          </w:p>
        </w:tc>
      </w:tr>
      <w:tr w:rsidR="005B3821" w:rsidTr="007A4D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821" w:rsidRDefault="005B3821">
            <w:pPr>
              <w:keepNext/>
              <w:spacing w:before="40" w:after="40" w:line="312" w:lineRule="exact"/>
              <w:outlineLvl w:val="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pStyle w:val="berschrift3"/>
              <w:keepLines w:val="0"/>
              <w:tabs>
                <w:tab w:val="left" w:pos="2340"/>
              </w:tabs>
              <w:spacing w:before="40" w:after="4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Identificazione dell'azienda</w:t>
            </w:r>
          </w:p>
        </w:tc>
      </w:tr>
      <w:tr w:rsidR="005B3821" w:rsidRPr="00F72AF7" w:rsidTr="007A4D9C">
        <w:trPr>
          <w:cantSplit/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3821" w:rsidRDefault="005B3821">
            <w:pPr>
              <w:keepNext/>
              <w:spacing w:before="40" w:after="40" w:line="312" w:lineRule="exact"/>
              <w:outlineLvl w:val="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1.3.1</w:t>
            </w:r>
          </w:p>
          <w:p w:rsidR="005B3821" w:rsidRDefault="005B3821">
            <w:pPr>
              <w:keepNext/>
              <w:spacing w:before="40" w:after="40" w:line="312" w:lineRule="exact"/>
              <w:outlineLvl w:val="2"/>
              <w:rPr>
                <w:rFonts w:ascii="Verdana" w:hAnsi="Verdana"/>
              </w:rPr>
            </w:pP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D9C" w:rsidRPr="00750AB0" w:rsidRDefault="00F72AF7" w:rsidP="00F72AF7">
            <w:pPr>
              <w:keepNext/>
              <w:tabs>
                <w:tab w:val="left" w:pos="851"/>
                <w:tab w:val="left" w:pos="2340"/>
                <w:tab w:val="left" w:pos="3966"/>
              </w:tabs>
              <w:spacing w:before="40" w:line="312" w:lineRule="exact"/>
              <w:outlineLvl w:val="2"/>
              <w:rPr>
                <w:rFonts w:ascii="Verdana" w:hAnsi="Verdana"/>
                <w:sz w:val="22"/>
                <w:highlight w:val="yellow"/>
              </w:rPr>
            </w:pPr>
            <w:r>
              <w:rPr>
                <w:rFonts w:ascii="Verdana" w:hAnsi="Verdana"/>
                <w:sz w:val="22"/>
                <w:highlight w:val="yellow"/>
              </w:rPr>
              <w:t>Produttore:</w:t>
            </w:r>
            <w:r>
              <w:tab/>
            </w:r>
            <w:r>
              <w:tab/>
            </w:r>
            <w:r>
              <w:rPr>
                <w:rFonts w:ascii="Verdana" w:hAnsi="Verdana"/>
                <w:color w:val="000000"/>
                <w:sz w:val="22"/>
                <w:highlight w:val="yellow"/>
              </w:rPr>
              <w:br/>
            </w:r>
            <w:r>
              <w:rPr>
                <w:rFonts w:ascii="Verdana" w:hAnsi="Verdana"/>
                <w:sz w:val="22"/>
                <w:highlight w:val="yellow"/>
              </w:rPr>
              <w:t>Via/Casella postale:</w:t>
            </w:r>
            <w:r>
              <w:tab/>
            </w:r>
            <w:r>
              <w:tab/>
            </w:r>
          </w:p>
          <w:p w:rsidR="005B3821" w:rsidRPr="00750AB0" w:rsidRDefault="007A4D9C" w:rsidP="007A4D9C">
            <w:pPr>
              <w:tabs>
                <w:tab w:val="left" w:pos="2340"/>
                <w:tab w:val="left" w:pos="3966"/>
              </w:tabs>
              <w:spacing w:line="312" w:lineRule="exact"/>
              <w:rPr>
                <w:rFonts w:ascii="Verdana" w:hAnsi="Verdana"/>
                <w:sz w:val="22"/>
                <w:highlight w:val="yellow"/>
              </w:rPr>
            </w:pPr>
            <w:r>
              <w:rPr>
                <w:rFonts w:ascii="Verdana" w:hAnsi="Verdana"/>
                <w:sz w:val="22"/>
                <w:highlight w:val="yellow"/>
              </w:rPr>
              <w:t>Sigla nazionale/NPA/località:</w:t>
            </w:r>
            <w:r>
              <w:tab/>
            </w:r>
          </w:p>
          <w:p w:rsidR="005B3821" w:rsidRPr="00750AB0" w:rsidRDefault="007A4D9C" w:rsidP="007A4D9C">
            <w:pPr>
              <w:tabs>
                <w:tab w:val="left" w:pos="2340"/>
                <w:tab w:val="left" w:pos="3966"/>
              </w:tabs>
              <w:spacing w:line="312" w:lineRule="exact"/>
              <w:rPr>
                <w:rFonts w:ascii="Verdana" w:hAnsi="Verdana"/>
                <w:color w:val="000000"/>
                <w:sz w:val="22"/>
                <w:highlight w:val="yellow"/>
              </w:rPr>
            </w:pPr>
            <w:r>
              <w:rPr>
                <w:rFonts w:ascii="Verdana" w:hAnsi="Verdana"/>
                <w:sz w:val="22"/>
                <w:highlight w:val="yellow"/>
              </w:rPr>
              <w:t>Telefono:</w:t>
            </w:r>
            <w:r>
              <w:tab/>
            </w:r>
            <w:r>
              <w:tab/>
            </w:r>
          </w:p>
          <w:p w:rsidR="005B3821" w:rsidRPr="00750AB0" w:rsidRDefault="007A4D9C" w:rsidP="007A4D9C">
            <w:pPr>
              <w:tabs>
                <w:tab w:val="left" w:pos="2340"/>
                <w:tab w:val="left" w:pos="3966"/>
              </w:tabs>
              <w:spacing w:line="312" w:lineRule="exact"/>
              <w:rPr>
                <w:rFonts w:ascii="Verdana" w:hAnsi="Verdana"/>
                <w:sz w:val="22"/>
                <w:highlight w:val="yellow"/>
              </w:rPr>
            </w:pPr>
            <w:r>
              <w:rPr>
                <w:rFonts w:ascii="Verdana" w:hAnsi="Verdana"/>
                <w:color w:val="000000"/>
                <w:sz w:val="22"/>
                <w:highlight w:val="yellow"/>
              </w:rPr>
              <w:t>Telefax:</w:t>
            </w:r>
            <w:r>
              <w:tab/>
            </w:r>
            <w:r>
              <w:tab/>
            </w:r>
          </w:p>
          <w:p w:rsidR="005B3821" w:rsidRPr="00F72AF7" w:rsidRDefault="007A4D9C" w:rsidP="002A0A03">
            <w:pPr>
              <w:tabs>
                <w:tab w:val="left" w:pos="3966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highlight w:val="yellow"/>
              </w:rPr>
              <w:t>E-mail:</w:t>
            </w:r>
            <w:r>
              <w:tab/>
            </w:r>
          </w:p>
        </w:tc>
      </w:tr>
      <w:tr w:rsidR="00C864B6" w:rsidTr="008D5D45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6" w:rsidRPr="00F05A59" w:rsidRDefault="005175C7">
            <w:pPr>
              <w:spacing w:line="312" w:lineRule="exac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1.4</w:t>
            </w:r>
            <w:r>
              <w:tab/>
            </w:r>
            <w:r>
              <w:rPr>
                <w:rFonts w:ascii="Verdana" w:hAnsi="Verdana"/>
                <w:sz w:val="22"/>
              </w:rPr>
              <w:t>Numero telefonico d'emergenza</w:t>
            </w:r>
          </w:p>
          <w:p w:rsidR="00C864B6" w:rsidRPr="00F05A59" w:rsidRDefault="00C864B6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Informazioni in casi d'emergenza: </w:t>
            </w:r>
          </w:p>
          <w:p w:rsidR="00C864B6" w:rsidRPr="00F05A59" w:rsidRDefault="00C864B6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Centro Svizzero d'lnformazione </w:t>
            </w:r>
          </w:p>
          <w:p w:rsidR="00C864B6" w:rsidRPr="00F05A59" w:rsidRDefault="00C864B6" w:rsidP="00C864B6">
            <w:pPr>
              <w:tabs>
                <w:tab w:val="left" w:pos="4660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Tossicologica Zurigo:</w:t>
            </w:r>
            <w:r>
              <w:tab/>
            </w:r>
            <w:r>
              <w:rPr>
                <w:rFonts w:ascii="Verdana" w:hAnsi="Verdana"/>
                <w:sz w:val="22"/>
              </w:rPr>
              <w:t>Tel. 145 (numero d'emergenza 24 h)</w:t>
            </w:r>
          </w:p>
          <w:p w:rsidR="00C864B6" w:rsidRPr="00F05A59" w:rsidRDefault="00C864B6" w:rsidP="007A4D9C">
            <w:pPr>
              <w:ind w:firstLine="709"/>
              <w:rPr>
                <w:rFonts w:ascii="Verdana" w:hAnsi="Verdana"/>
                <w:sz w:val="22"/>
              </w:rPr>
            </w:pPr>
          </w:p>
        </w:tc>
      </w:tr>
      <w:tr w:rsidR="005B3821" w:rsidTr="007A4D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B3821" w:rsidRDefault="005175C7" w:rsidP="005175C7">
            <w:pPr>
              <w:keepLines/>
              <w:spacing w:line="312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24"/>
              </w:rPr>
              <w:t>2.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24"/>
              </w:rPr>
              <w:t>Identificazione dei pericoli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18"/>
              </w:rPr>
            </w:pPr>
          </w:p>
        </w:tc>
      </w:tr>
      <w:tr w:rsidR="006177C8" w:rsidTr="00F20F3F">
        <w:trPr>
          <w:cantSplit/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77C8" w:rsidRPr="004E5205" w:rsidRDefault="006177C8">
            <w:pPr>
              <w:keepLines/>
              <w:spacing w:line="312" w:lineRule="exact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</w:rPr>
              <w:t>2.1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177C8" w:rsidRPr="00F05A59" w:rsidRDefault="006177C8" w:rsidP="00140B8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Verdana" w:hAnsi="Verdana"/>
                <w:sz w:val="22"/>
              </w:rPr>
              <w:t>Classificazione della miscela conforme al regolamento (CE) n. 1272/2008</w:t>
            </w:r>
            <w:r>
              <w:tab/>
            </w:r>
          </w:p>
          <w:p w:rsidR="0048780A" w:rsidRDefault="0048780A" w:rsidP="008B4E3D">
            <w:pPr>
              <w:keepLines/>
              <w:rPr>
                <w:rFonts w:ascii="Verdana" w:hAnsi="Verdana"/>
                <w:sz w:val="22"/>
              </w:rPr>
            </w:pPr>
          </w:p>
          <w:p w:rsidR="006177C8" w:rsidRPr="00F05A59" w:rsidRDefault="006177C8" w:rsidP="008B4E3D">
            <w:pPr>
              <w:keepLines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Irritazione cutanea, categoria 2; H315</w:t>
            </w:r>
          </w:p>
          <w:p w:rsidR="006177C8" w:rsidRPr="00F05A59" w:rsidRDefault="00CB3F0C" w:rsidP="008B4E3D">
            <w:pPr>
              <w:keepLines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Sensibilizzazione della pelle, categoria 2; H317</w:t>
            </w:r>
          </w:p>
          <w:p w:rsidR="006177C8" w:rsidRPr="00F05A59" w:rsidRDefault="003B524A" w:rsidP="003B524A">
            <w:pPr>
              <w:keepLines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Verdana" w:hAnsi="Verdana"/>
                <w:sz w:val="22"/>
              </w:rPr>
              <w:t>Gravi danni oculari, categoria 1; H318</w:t>
            </w:r>
          </w:p>
        </w:tc>
      </w:tr>
      <w:tr w:rsidR="006177C8" w:rsidTr="0035290F">
        <w:trPr>
          <w:cantSplit/>
          <w:trHeight w:val="6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177C8" w:rsidRPr="004E5205" w:rsidRDefault="006177C8">
            <w:pPr>
              <w:keepLines/>
              <w:spacing w:line="312" w:lineRule="exact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lastRenderedPageBreak/>
              <w:t>2.2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177C8" w:rsidRPr="00F05A59" w:rsidRDefault="006177C8">
            <w:pPr>
              <w:keepLines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Elementi dell'etichetta</w:t>
            </w: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 xml:space="preserve">GHS 05: </w:t>
            </w:r>
            <w:r>
              <w:rPr>
                <w:rFonts w:ascii="Verdana" w:hAnsi="Verdana"/>
                <w:noProof/>
                <w:sz w:val="22"/>
                <w:szCs w:val="22"/>
                <w:lang w:val="de-CH" w:eastAsia="de-CH" w:bidi="ar-SA"/>
              </w:rPr>
              <w:drawing>
                <wp:inline distT="0" distB="0" distL="0" distR="0" wp14:anchorId="74EB377C" wp14:editId="7EBC8AA0">
                  <wp:extent cx="720000" cy="720000"/>
                  <wp:effectExtent l="0" t="0" r="4445" b="4445"/>
                  <wp:docPr id="1" name="Grafik 1" descr="C:\Users\brma1\Pictures\Symbole\640px-GHS-pictogram-acid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ma1\Pictures\Symbole\640px-GHS-pictogram-acid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rFonts w:ascii="Verdana" w:hAnsi="Verdana"/>
                <w:sz w:val="22"/>
              </w:rPr>
              <w:t xml:space="preserve">GHS 07: </w:t>
            </w:r>
            <w:r>
              <w:rPr>
                <w:rFonts w:ascii="Verdana" w:hAnsi="Verdana"/>
                <w:noProof/>
                <w:sz w:val="22"/>
                <w:szCs w:val="22"/>
                <w:lang w:val="de-CH" w:eastAsia="de-CH" w:bidi="ar-SA"/>
              </w:rPr>
              <w:drawing>
                <wp:inline distT="0" distB="0" distL="0" distR="0" wp14:anchorId="221F22A0" wp14:editId="1F800967">
                  <wp:extent cx="720000" cy="720000"/>
                  <wp:effectExtent l="0" t="0" r="4445" b="4445"/>
                  <wp:docPr id="5" name="Grafik 5" descr="C:\Users\brma1\Pictures\Symbole\640px-GHS-pictogram-exclam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ma1\Pictures\Symbole\640px-GHS-pictogram-exclam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Avvertenza: PERICOLO</w:t>
            </w: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</w:p>
          <w:p w:rsidR="00E47D74" w:rsidRPr="005327FC" w:rsidRDefault="00E47D74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Contiene: cemento</w:t>
            </w:r>
          </w:p>
          <w:p w:rsidR="00E47D74" w:rsidRPr="005327FC" w:rsidRDefault="00E47D74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Indicazioni di pericolo/frasi H</w:t>
            </w: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H315: causa irritazione cutanea</w:t>
            </w: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H317: può causare una reazione allergica cutanea</w:t>
            </w: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H318: provoca gravi lesioni oculari</w:t>
            </w: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Consigli di prudenza/frasi P</w:t>
            </w:r>
          </w:p>
          <w:p w:rsidR="00894F93" w:rsidRPr="005327FC" w:rsidRDefault="00894F93" w:rsidP="00894F93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P102: tenere fuori dalla portata dei bambini.</w:t>
            </w:r>
          </w:p>
          <w:p w:rsidR="002563E7" w:rsidRPr="005327FC" w:rsidRDefault="002563E7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P272: gli indumenti da lavoro contaminati non devono essere portati fuori dal luogo di lavoro.</w:t>
            </w: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P280: indossare guanti/indumenti protettivi/protezione occhi.</w:t>
            </w:r>
          </w:p>
          <w:p w:rsidR="00894F93" w:rsidRPr="005327FC" w:rsidRDefault="00894F93" w:rsidP="00894F93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P302+P352: IN CASO DI CONTATTO CON LA PELLE: lavare abbondantemente con acqua e sapone.</w:t>
            </w:r>
          </w:p>
          <w:p w:rsidR="006177C8" w:rsidRPr="005327FC" w:rsidRDefault="006177C8" w:rsidP="008B4E3D">
            <w:pPr>
              <w:keepLines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P305+P351+P338+P310: IN CASO DI CONTATTO CON GLI OCCHI: sciacquare accuratamente per parecchi minuti. Togliere le eventuali lenti a contatto se è agevole farlo. Continuare a sciacquare. Contattare immediatamente un centro di informazione tossicologica o un medico.</w:t>
            </w:r>
          </w:p>
          <w:p w:rsidR="006177C8" w:rsidRPr="004E5205" w:rsidRDefault="006177C8" w:rsidP="0016406C">
            <w:pPr>
              <w:keepLines/>
              <w:rPr>
                <w:rFonts w:ascii="Verdana" w:hAnsi="Verdana"/>
                <w:sz w:val="22"/>
                <w:highlight w:val="yellow"/>
              </w:rPr>
            </w:pPr>
            <w:r>
              <w:rPr>
                <w:rFonts w:ascii="Verdana" w:hAnsi="Verdana"/>
                <w:sz w:val="22"/>
              </w:rPr>
              <w:t>P333+313: in caso di irritazione o eruzione della pelle: consultare un medico.</w:t>
            </w:r>
          </w:p>
        </w:tc>
      </w:tr>
      <w:tr w:rsidR="005175C7" w:rsidTr="005648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175C7" w:rsidRDefault="005175C7" w:rsidP="005175C7">
            <w:pPr>
              <w:spacing w:line="312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75C7" w:rsidRDefault="005175C7" w:rsidP="0056482A">
            <w:pPr>
              <w:pStyle w:val="berschrift2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Composizione/informazioni sugli ingredienti</w:t>
            </w:r>
          </w:p>
        </w:tc>
      </w:tr>
      <w:tr w:rsidR="005175C7" w:rsidTr="005648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75C7" w:rsidRDefault="005175C7" w:rsidP="0056482A">
            <w:pPr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75C7" w:rsidRDefault="005175C7" w:rsidP="0056482A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Composizione (sostanze)</w:t>
            </w:r>
          </w:p>
        </w:tc>
      </w:tr>
      <w:tr w:rsidR="001D1C22" w:rsidTr="001D1C22">
        <w:trPr>
          <w:cantSplit/>
          <w:trHeight w:val="1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1C22" w:rsidRDefault="001D1C22" w:rsidP="0056482A">
            <w:pPr>
              <w:spacing w:line="312" w:lineRule="exact"/>
              <w:ind w:right="-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3.1.1 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2" w:rsidRPr="00F05A59" w:rsidRDefault="001D1C22" w:rsidP="0056482A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Cemento</w:t>
            </w:r>
          </w:p>
          <w:p w:rsidR="001D1C22" w:rsidRPr="001D1C22" w:rsidRDefault="001D1C22" w:rsidP="00D60F1E">
            <w:pPr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Classificazione conforme al regolamento (CE) n. 1272/2008:</w:t>
            </w:r>
          </w:p>
          <w:p w:rsidR="001D1C22" w:rsidRPr="001D1C22" w:rsidRDefault="001D1C22" w:rsidP="00D60F1E">
            <w:pPr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causa irritazione cutanea, categoria 2; H315</w:t>
            </w:r>
          </w:p>
          <w:p w:rsidR="001D1C22" w:rsidRPr="001D1C22" w:rsidRDefault="001D1C22" w:rsidP="00D60F1E">
            <w:pPr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può causare una reazione allergica cutanea, categoria 2; H317</w:t>
            </w:r>
          </w:p>
          <w:p w:rsidR="001D1C22" w:rsidRPr="001D1C22" w:rsidRDefault="001D1C22" w:rsidP="00D60F1E">
            <w:pPr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causa gravi danni oculari, categoria 1; H318</w:t>
            </w:r>
          </w:p>
          <w:p w:rsidR="001D1C22" w:rsidRPr="001D1C22" w:rsidRDefault="001D1C22" w:rsidP="00D60F1E">
            <w:pPr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può irritare le vie respiratorie, categoria 3; H335</w:t>
            </w:r>
          </w:p>
          <w:p w:rsidR="001D1C22" w:rsidRPr="001D1C22" w:rsidRDefault="001D1C22" w:rsidP="00D60F1E">
            <w:pPr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simbolo di pericolo GHS 05 (effetto irritante)</w:t>
            </w:r>
          </w:p>
          <w:p w:rsidR="001D1C22" w:rsidRPr="001D1C22" w:rsidRDefault="001D1C22" w:rsidP="00D60F1E">
            <w:pPr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simbolo di pericolo GHS 07 (punto esclamativo)</w:t>
            </w:r>
          </w:p>
          <w:p w:rsidR="001D1C22" w:rsidRPr="00F05A59" w:rsidRDefault="001D1C22" w:rsidP="001D1C22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avvertenza "Pericolo"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C22" w:rsidRPr="00F05A59" w:rsidRDefault="001D1C22" w:rsidP="0056482A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highlight w:val="yellow"/>
              </w:rPr>
              <w:t>…% in peso</w:t>
            </w:r>
          </w:p>
        </w:tc>
      </w:tr>
      <w:tr w:rsidR="001D1C22" w:rsidTr="001D1C22">
        <w:trPr>
          <w:cantSplit/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D1C22" w:rsidRDefault="001D1C22" w:rsidP="0056482A">
            <w:pPr>
              <w:spacing w:line="312" w:lineRule="exact"/>
              <w:ind w:right="-70"/>
              <w:rPr>
                <w:rFonts w:ascii="Verdana" w:hAnsi="Verdana"/>
              </w:rPr>
            </w:pP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2" w:rsidRPr="00F05A59" w:rsidRDefault="001D1C22" w:rsidP="001D1C22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Pietrame granulato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C22" w:rsidRPr="00F05A59" w:rsidRDefault="001D1C22" w:rsidP="0056482A">
            <w:pPr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1D1C22" w:rsidTr="001D1C22">
        <w:trPr>
          <w:cantSplit/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D1C22" w:rsidRDefault="001D1C22" w:rsidP="0056482A">
            <w:pPr>
              <w:spacing w:line="312" w:lineRule="exact"/>
              <w:ind w:right="-70"/>
              <w:rPr>
                <w:rFonts w:ascii="Verdana" w:hAnsi="Verdana"/>
              </w:rPr>
            </w:pP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2" w:rsidRPr="00F05A59" w:rsidRDefault="001D1C22" w:rsidP="001D1C22">
            <w:pPr>
              <w:tabs>
                <w:tab w:val="left" w:pos="3515"/>
                <w:tab w:val="left" w:pos="3824"/>
                <w:tab w:val="left" w:pos="4168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Acqua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C22" w:rsidRPr="00F05A59" w:rsidRDefault="001D1C22" w:rsidP="0056482A">
            <w:pPr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1D1C22" w:rsidTr="001D1C22">
        <w:trPr>
          <w:cantSplit/>
          <w:trHeight w:val="6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1D1C22" w:rsidRDefault="001D1C22" w:rsidP="0056482A">
            <w:pPr>
              <w:spacing w:line="312" w:lineRule="exact"/>
              <w:ind w:right="-70"/>
              <w:rPr>
                <w:rFonts w:ascii="Verdana" w:hAnsi="Verdana"/>
              </w:rPr>
            </w:pP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2" w:rsidRPr="00F05A59" w:rsidRDefault="001D1C22" w:rsidP="001D1C22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Eventuali agenti ausiliari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C22" w:rsidRPr="00F05A59" w:rsidRDefault="001D1C22" w:rsidP="0056482A">
            <w:pPr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1D1C22" w:rsidTr="001D1C22">
        <w:trPr>
          <w:cantSplit/>
          <w:trHeight w:val="1187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D1C22" w:rsidRDefault="001D1C22" w:rsidP="0056482A">
            <w:pPr>
              <w:spacing w:line="312" w:lineRule="exact"/>
              <w:ind w:right="-70"/>
              <w:rPr>
                <w:rFonts w:ascii="Verdana" w:hAnsi="Verdana"/>
              </w:rPr>
            </w:pP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22" w:rsidRDefault="001D1C22" w:rsidP="001D1C22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Eventuali additivi</w:t>
            </w:r>
          </w:p>
          <w:p w:rsidR="001D1C22" w:rsidRPr="00F05A59" w:rsidRDefault="001D1C22" w:rsidP="001D1C22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- cenere volante</w:t>
            </w:r>
          </w:p>
          <w:p w:rsidR="001D1C22" w:rsidRPr="00F05A59" w:rsidRDefault="001D1C22" w:rsidP="001D1C22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- pigmenti per la colorazione</w:t>
            </w:r>
          </w:p>
          <w:p w:rsidR="001D1C22" w:rsidRPr="00F05A59" w:rsidRDefault="001D1C22" w:rsidP="001D1C22">
            <w:pPr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- fibre d'acciaio o di materiale plastico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C22" w:rsidRPr="00F05A59" w:rsidRDefault="001D1C22" w:rsidP="0056482A">
            <w:pPr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5175C7" w:rsidTr="00564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75C7" w:rsidRDefault="005175C7" w:rsidP="0056482A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3.1.2</w:t>
            </w:r>
          </w:p>
        </w:tc>
        <w:tc>
          <w:tcPr>
            <w:tcW w:w="3350" w:type="dxa"/>
            <w:tcBorders>
              <w:top w:val="single" w:sz="4" w:space="0" w:color="auto"/>
              <w:bottom w:val="nil"/>
            </w:tcBorders>
          </w:tcPr>
          <w:p w:rsidR="005175C7" w:rsidRDefault="005175C7" w:rsidP="0056482A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Numero (i) d'identificazione: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75C7" w:rsidRDefault="005175C7" w:rsidP="0056482A">
            <w:pPr>
              <w:keepLines/>
              <w:tabs>
                <w:tab w:val="left" w:pos="616"/>
                <w:tab w:val="left" w:pos="2033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tab/>
            </w:r>
            <w:r>
              <w:rPr>
                <w:rFonts w:ascii="Verdana" w:hAnsi="Verdana"/>
                <w:sz w:val="22"/>
              </w:rPr>
              <w:t>non disponibile</w:t>
            </w:r>
          </w:p>
        </w:tc>
      </w:tr>
      <w:tr w:rsidR="005175C7" w:rsidTr="00564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5C7" w:rsidRDefault="005175C7" w:rsidP="0056482A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3.1.3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5175C7" w:rsidRDefault="005175C7" w:rsidP="0056482A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Indicazioni supplementari: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7" w:rsidRDefault="005175C7" w:rsidP="0056482A">
            <w:pPr>
              <w:keepLines/>
              <w:tabs>
                <w:tab w:val="left" w:pos="616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tab/>
            </w:r>
            <w:r>
              <w:rPr>
                <w:rFonts w:ascii="Verdana" w:hAnsi="Verdana"/>
                <w:sz w:val="22"/>
              </w:rPr>
              <w:t xml:space="preserve">non applicabili </w:t>
            </w:r>
          </w:p>
        </w:tc>
      </w:tr>
    </w:tbl>
    <w:p w:rsidR="00405A41" w:rsidRDefault="00405A41"/>
    <w:tbl>
      <w:tblPr>
        <w:tblW w:w="9843" w:type="dxa"/>
        <w:tblInd w:w="7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709"/>
        <w:gridCol w:w="3402"/>
        <w:gridCol w:w="5732"/>
      </w:tblGrid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4.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Misure di primo soccorso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2"/>
              </w:rPr>
              <w:t>Indicazioni generali: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2"/>
              </w:rPr>
              <w:t>mostrare al medico la scheda o il promemoria di sicurezza.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pStyle w:val="Kopfzeile"/>
              <w:keepLines/>
              <w:tabs>
                <w:tab w:val="clear" w:pos="4536"/>
                <w:tab w:val="clear" w:pos="9072"/>
              </w:tabs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In seguito al contatto con la pelle: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F05A59" w:rsidRDefault="005B3821" w:rsidP="00F05A59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sciacquare accuratamente con acqua fredda, all'occorrenza utilizzare solo detergenti a pH neutro, in caso di dolori persistenti consultare il medico.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pStyle w:val="Kopfzeile"/>
              <w:keepLines/>
              <w:tabs>
                <w:tab w:val="clear" w:pos="4536"/>
                <w:tab w:val="clear" w:pos="9072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 seguito al contatto con gli occhi: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F05A59" w:rsidRDefault="005B3821" w:rsidP="00F05A59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 caso di contatto con gli occhi sciacquare immediatamente e accuratamente con acqua fredda, consultare un medico.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pStyle w:val="Kopfzeile"/>
              <w:keepLines/>
              <w:tabs>
                <w:tab w:val="clear" w:pos="4536"/>
                <w:tab w:val="clear" w:pos="9072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 seguito a ingestione: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Pr="00F05A59" w:rsidRDefault="005175C7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sciacquare la bocca e consultare un medico.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pStyle w:val="Kopfzeile"/>
              <w:keepLines/>
              <w:tabs>
                <w:tab w:val="clear" w:pos="4536"/>
                <w:tab w:val="clear" w:pos="9072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Avvertenze per il medico: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vedi 3.1.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5.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Misure antincendio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2"/>
              </w:rPr>
              <w:t>Mezzi di estinzione idonei: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Mezzi di estinzione non idonei per motivi di sicurezza: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Pericoli speciali derivanti dalla sostanza, dai suoi prodotti di combustione o gas risultanti: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Equipaggiamento speciale di sicurezza: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necessario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6.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Misure in caso di rilascio accidentale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Precauzioni personali: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Pr="00F05A59" w:rsidRDefault="005B3821" w:rsidP="00123F2B">
            <w:pPr>
              <w:keepLines/>
              <w:spacing w:line="312" w:lineRule="exact"/>
              <w:ind w:left="497" w:hanging="497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tenere fuori dalla portata dei bambini.</w:t>
            </w:r>
          </w:p>
          <w:p w:rsidR="005B3821" w:rsidRPr="00F05A59" w:rsidRDefault="005B3821">
            <w:pPr>
              <w:keepLines/>
              <w:spacing w:line="312" w:lineRule="exact"/>
              <w:ind w:left="639" w:hanging="63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Evitare il contatto con la pelle.</w:t>
            </w:r>
          </w:p>
          <w:p w:rsidR="005B3821" w:rsidRPr="00F05A59" w:rsidRDefault="005B3821">
            <w:pPr>
              <w:keepLines/>
              <w:spacing w:line="312" w:lineRule="exact"/>
              <w:ind w:left="639" w:hanging="63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Evitare il contatto con gli occhi.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pStyle w:val="Kopfzeile"/>
              <w:keepLines/>
              <w:tabs>
                <w:tab w:val="clear" w:pos="4536"/>
                <w:tab w:val="clear" w:pos="9072"/>
              </w:tabs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Precauzioni ambientali: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evitare l'infiltrazione incontrollata di acqua, il deflusso incontrollato in seguito all'infiltrazione di acqua, il deflusso nella fognatura e nei pozzi perdenti; informare le autorità competenti in caso d'incidente (ad es. vigili del fuoco).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Metodi e materiali per il contenimento e per la bonifica: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ind w:left="639" w:hanging="63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raccolta con mezzi meccanici.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Indicazioni supplementari: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indurisce in poche ore, successivamente può essere smaltito in discarica di materiali inerti in conformità alle disposizioni di legge.</w:t>
            </w:r>
          </w:p>
        </w:tc>
      </w:tr>
    </w:tbl>
    <w:p w:rsidR="00361913" w:rsidRDefault="00361913">
      <w:r>
        <w:br w:type="page"/>
      </w:r>
    </w:p>
    <w:tbl>
      <w:tblPr>
        <w:tblW w:w="9843" w:type="dxa"/>
        <w:tblInd w:w="7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709"/>
        <w:gridCol w:w="3402"/>
        <w:gridCol w:w="2369"/>
        <w:gridCol w:w="1440"/>
        <w:gridCol w:w="1923"/>
      </w:tblGrid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7.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Manipolazione e immagazzinamento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Manipolazione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7.1.1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Precauzioni per la manipolazione sicura: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tempo di lavorazione limitato! Tener conto del processo di indurimento.</w:t>
            </w:r>
          </w:p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Tenere fuori dalla portata dei bambini.</w:t>
            </w:r>
          </w:p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Evitare il contatto con la pelle.</w:t>
            </w:r>
          </w:p>
          <w:p w:rsidR="005B3821" w:rsidRPr="00F05A59" w:rsidRDefault="005B3821" w:rsidP="00F05A59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Evitare il contatto con gli occhi.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7.1.2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Avvertenze per la protezione antincendio e antideflagrante: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Immagazzinamento: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8.</w:t>
            </w:r>
          </w:p>
        </w:tc>
        <w:tc>
          <w:tcPr>
            <w:tcW w:w="91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Controllo dell’esposizione/protezione individuale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8.1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2"/>
              </w:rPr>
              <w:t>Indicazioni complementari per l'allestimento degli impianti tecnici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2"/>
              </w:rPr>
              <w:t>Per la lavorazione occorre utilizzare mezzi tecnici ausiliari onde evitare qualsiasi contatto con la pelle.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8.2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Componenti che presentano valori soglia da monitorare riferite al posto di lavoro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Default="00765702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Cemento (polvere)</w:t>
            </w:r>
          </w:p>
          <w:p w:rsidR="00501EA4" w:rsidRDefault="00501EA4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Valore limite secondo SUVA:</w:t>
            </w:r>
          </w:p>
          <w:p w:rsidR="00765702" w:rsidRPr="00F05A59" w:rsidRDefault="00501EA4" w:rsidP="007A1389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MAC: 5 mg/m (polvere inalabile)</w:t>
            </w:r>
          </w:p>
        </w:tc>
      </w:tr>
      <w:tr w:rsidR="00CB149A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149A" w:rsidRDefault="00CB149A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8.3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149A" w:rsidRPr="00F05A59" w:rsidRDefault="00CB149A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Dispositivi di protezione individuale (DPI)</w:t>
            </w:r>
          </w:p>
        </w:tc>
      </w:tr>
      <w:tr w:rsidR="005B3821" w:rsidTr="006965B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8.3.1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Protezione delle mani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F05A59" w:rsidRDefault="005B3821">
            <w:pPr>
              <w:keepLines/>
              <w:tabs>
                <w:tab w:val="left" w:pos="639"/>
              </w:tabs>
              <w:spacing w:line="312" w:lineRule="exact"/>
              <w:ind w:left="639" w:hanging="63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Evitare il contatto con la pelle.</w:t>
            </w:r>
          </w:p>
          <w:p w:rsidR="00123F2B" w:rsidRPr="00F05A59" w:rsidRDefault="005B3821" w:rsidP="006965B8">
            <w:pPr>
              <w:keepLines/>
              <w:tabs>
                <w:tab w:val="left" w:pos="107"/>
                <w:tab w:val="left" w:pos="639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Indossare guanti protettivi con rivestimento in materiale plastico (rivestimento in nitrile).</w:t>
            </w:r>
          </w:p>
          <w:p w:rsidR="005B3821" w:rsidRPr="00F05A59" w:rsidRDefault="005B3821" w:rsidP="006965B8">
            <w:pPr>
              <w:keepLines/>
              <w:tabs>
                <w:tab w:val="left" w:pos="107"/>
                <w:tab w:val="left" w:pos="639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Protezione preventiva della pelle impiegando pomate protettive per la pelle.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8.3.2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Protezione degli occhi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Pr="00F05A59" w:rsidRDefault="005B3821" w:rsidP="006965B8">
            <w:pPr>
              <w:keepLines/>
              <w:tabs>
                <w:tab w:val="left" w:pos="639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Evitare il contatto con gli occhi.</w:t>
            </w:r>
          </w:p>
          <w:p w:rsidR="005B3821" w:rsidRPr="00F05A59" w:rsidRDefault="005B3821" w:rsidP="006965B8">
            <w:pPr>
              <w:keepLines/>
              <w:tabs>
                <w:tab w:val="left" w:pos="639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In caso di contatto con gli occhi </w:t>
            </w:r>
          </w:p>
          <w:p w:rsidR="005B3821" w:rsidRPr="00F05A59" w:rsidRDefault="005B3821" w:rsidP="006965B8">
            <w:pPr>
              <w:keepLines/>
              <w:tabs>
                <w:tab w:val="left" w:pos="639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sciacquare immediatamente e accuratamente con acqua e consultare un medico.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49A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8.3.3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Protezione per il corpo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F05A59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Indossare indumenti da lavoro.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9.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Proprietà fisiche e chimiche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Forma: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fluida, plastica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Colore: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grigio/bianco o colorato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Odore: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inodore</w:t>
            </w:r>
          </w:p>
        </w:tc>
      </w:tr>
      <w:tr w:rsidR="005B3821" w:rsidTr="003D3F2D">
        <w:trPr>
          <w:cantSplit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valore/intervallo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unità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pStyle w:val="Funotentext"/>
              <w:keepLines/>
              <w:spacing w:line="220" w:lineRule="exact"/>
              <w:rPr>
                <w:rFonts w:ascii="Verdana" w:hAnsi="Verdana"/>
              </w:rPr>
            </w:pP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Punto di fusione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&gt; 1200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°C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Punto di infiammabilità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°C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B3821" w:rsidRDefault="005B3821" w:rsidP="00361913">
            <w:pPr>
              <w:keepLines/>
              <w:ind w:left="2019" w:hanging="201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Densità a 20 °C </w:t>
            </w:r>
            <w:r>
              <w:rPr>
                <w:rFonts w:ascii="Verdana" w:hAnsi="Verdana"/>
                <w:sz w:val="18"/>
              </w:rPr>
              <w:t>(calcestruzzo normale, compattato)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2000 - 2500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kg/m3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Solubilità a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22"/>
              </w:rPr>
              <w:t>20 °C</w:t>
            </w:r>
          </w:p>
          <w:p w:rsidR="005B3821" w:rsidRPr="00CB149A" w:rsidRDefault="005B3821">
            <w:pPr>
              <w:keepLines/>
              <w:spacing w:line="312" w:lineRule="exac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(a seconda del prodotto e del grado di idratazione)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fino a 1,5 g (cemento)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g/l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18"/>
              </w:rPr>
            </w:pP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Valore pH </w:t>
            </w:r>
            <w:r>
              <w:rPr>
                <w:rFonts w:ascii="Verdana" w:hAnsi="Verdana"/>
                <w:sz w:val="18"/>
              </w:rPr>
              <w:t>(soluzione satura)</w:t>
            </w:r>
            <w:r>
              <w:rPr>
                <w:rFonts w:ascii="Verdana" w:hAnsi="Verdana"/>
                <w:sz w:val="22"/>
              </w:rPr>
              <w:t xml:space="preserve"> a 20 °C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12,0 – 13,5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18"/>
              </w:rPr>
            </w:pPr>
          </w:p>
        </w:tc>
      </w:tr>
    </w:tbl>
    <w:p w:rsidR="006465A0" w:rsidRDefault="006465A0">
      <w:r>
        <w:br w:type="page"/>
      </w:r>
    </w:p>
    <w:tbl>
      <w:tblPr>
        <w:tblW w:w="9843" w:type="dxa"/>
        <w:tblInd w:w="7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709"/>
        <w:gridCol w:w="3402"/>
        <w:gridCol w:w="5732"/>
      </w:tblGrid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10.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Stabilità e reattività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10.1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Condizioni da evitare: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infiltrazione eccessiva d'acqua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Materiali incompatibili: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Prodotti di decomposizione pericolosi: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Altre indicazioni: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11.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Informazioni tossicologiche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11.1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Tossicità acuta</w:t>
            </w:r>
          </w:p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Dati per i componenti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11.2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Tossicità da subacuta a cronica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Esperienze sulle persone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numPr>
                <w:ilvl w:val="0"/>
                <w:numId w:val="6"/>
              </w:numPr>
              <w:tabs>
                <w:tab w:val="left" w:pos="0"/>
              </w:tabs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Possibilità di grave irritazione in caso di contatto con gli occhi, consultare un medico.</w:t>
            </w:r>
          </w:p>
          <w:p w:rsidR="005B3821" w:rsidRDefault="005B3821">
            <w:pPr>
              <w:pStyle w:val="Textkrper-Einzug3"/>
              <w:numPr>
                <w:ilvl w:val="0"/>
                <w:numId w:val="4"/>
              </w:numPr>
              <w:tabs>
                <w:tab w:val="left" w:pos="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caso d'ingestione: possibili disturbi di salute, consultare un medico. </w:t>
            </w:r>
          </w:p>
          <w:p w:rsidR="005B3821" w:rsidRPr="00123F2B" w:rsidRDefault="005B3821" w:rsidP="00123F2B">
            <w:pPr>
              <w:pStyle w:val="Textkrper-Einzug3"/>
              <w:numPr>
                <w:ilvl w:val="0"/>
                <w:numId w:val="5"/>
              </w:numPr>
              <w:tabs>
                <w:tab w:val="left" w:pos="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Reazioni allergiche/sensibilizzazione in caso di contatto intensivo con la pelle nelle persone sensibili.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Informazioni ecologiche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12.1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Indicazioni sull'eliminazione</w:t>
            </w:r>
          </w:p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2"/>
              </w:rPr>
              <w:t>(Persistenza e degradabilità)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12.2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sz w:val="22"/>
              </w:rPr>
              <w:t>Comportamento nei compartimenti ambientali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12.3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Effetti ecotossici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aumento del valore pH solo in caso di rilascio accidentale di grandi quantità, associato all'aggiunta di acqua (lisciviazione)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Altre indicazioni ecologiche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13.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Considerazioni sullo smaltimento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Prodotto: raccomandazione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raccogliere il calcestruzzo indurito e smaltire come rifiuti edili minerali (punto 6.4)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Confezioni non pulite: raccomandazione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non applicabili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Informazioni sul trasporto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Osservazioni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Il prodotto non è una merce pericolosa ai sensi di SDR e OSAS, pertanto non è necessaria alcuna marcatura</w:t>
            </w:r>
          </w:p>
        </w:tc>
      </w:tr>
    </w:tbl>
    <w:p w:rsidR="00361913" w:rsidRDefault="00361913">
      <w:r>
        <w:br w:type="page"/>
      </w:r>
    </w:p>
    <w:tbl>
      <w:tblPr>
        <w:tblW w:w="9843" w:type="dxa"/>
        <w:tblInd w:w="7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709"/>
        <w:gridCol w:w="3402"/>
        <w:gridCol w:w="5732"/>
      </w:tblGrid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5B3821" w:rsidRDefault="005175C7">
            <w:pPr>
              <w:keepLines/>
              <w:spacing w:line="312" w:lineRule="exact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Informazioni sulla regolamentazione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Pr="00D90BD6" w:rsidRDefault="005B3821">
            <w:pPr>
              <w:keepLines/>
              <w:spacing w:line="312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15.1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3821" w:rsidRPr="00D90BD6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Marcatura secondo le direttive CEE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Pr="00D90BD6" w:rsidRDefault="005B3821">
            <w:pPr>
              <w:keepLines/>
              <w:spacing w:line="312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15.1.1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Pr="00D90BD6" w:rsidRDefault="00331BF6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Pittogrammi di pericolo GHS</w:t>
            </w:r>
          </w:p>
          <w:p w:rsidR="005175C7" w:rsidRPr="00D90BD6" w:rsidRDefault="005175C7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5" w:rsidRPr="00D90BD6" w:rsidRDefault="008B28C5" w:rsidP="008B28C5">
            <w:pPr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GHS 05: </w:t>
            </w:r>
            <w:r>
              <w:rPr>
                <w:rFonts w:ascii="Verdana" w:hAnsi="Verdana"/>
                <w:noProof/>
                <w:lang w:val="de-CH" w:eastAsia="de-CH" w:bidi="ar-SA"/>
              </w:rPr>
              <w:drawing>
                <wp:inline distT="0" distB="0" distL="0" distR="0" wp14:anchorId="54A7EBA2" wp14:editId="490787C8">
                  <wp:extent cx="720000" cy="720000"/>
                  <wp:effectExtent l="0" t="0" r="4445" b="4445"/>
                  <wp:docPr id="2" name="Grafik 2" descr="C:\Users\brma1\Pictures\Symbole\640px-GHS-pictogram-acid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ma1\Pictures\Symbole\640px-GHS-pictogram-acid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rFonts w:ascii="Verdana" w:hAnsi="Verdana"/>
              </w:rPr>
              <w:t xml:space="preserve">GHS 07: </w:t>
            </w:r>
            <w:r>
              <w:rPr>
                <w:rFonts w:ascii="Verdana" w:hAnsi="Verdana"/>
                <w:noProof/>
                <w:lang w:val="de-CH" w:eastAsia="de-CH" w:bidi="ar-SA"/>
              </w:rPr>
              <w:drawing>
                <wp:inline distT="0" distB="0" distL="0" distR="0" wp14:anchorId="40F0ED01" wp14:editId="75C12809">
                  <wp:extent cx="720000" cy="720000"/>
                  <wp:effectExtent l="0" t="0" r="4445" b="4445"/>
                  <wp:docPr id="3" name="Grafik 3" descr="C:\Users\brma1\Pictures\Symbole\640px-GHS-pictogram-exclam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ma1\Pictures\Symbole\640px-GHS-pictogram-exclam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821" w:rsidRPr="00D90BD6" w:rsidRDefault="005B3821" w:rsidP="008B28C5">
            <w:pPr>
              <w:keepLines/>
              <w:rPr>
                <w:rFonts w:ascii="Verdana" w:hAnsi="Verdana"/>
              </w:rPr>
            </w:pP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Pr="00D90BD6" w:rsidRDefault="005B3821">
            <w:pPr>
              <w:keepLines/>
              <w:spacing w:line="312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15.1.2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Pr="00D90BD6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Contiene componenti pericolosi determinanti per l'etichettatura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D90BD6" w:rsidRDefault="00123F2B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cemento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821" w:rsidRPr="00D90BD6" w:rsidRDefault="005B3821">
            <w:pPr>
              <w:keepLines/>
              <w:spacing w:line="312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15.1.3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5B3821" w:rsidRPr="00D90BD6" w:rsidRDefault="00331BF6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Frasi H</w:t>
            </w:r>
          </w:p>
        </w:tc>
        <w:tc>
          <w:tcPr>
            <w:tcW w:w="57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28C5" w:rsidRPr="00D90BD6" w:rsidRDefault="008B28C5" w:rsidP="008B28C5">
            <w:pPr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H315: causa irritazione cutanea.</w:t>
            </w:r>
          </w:p>
          <w:p w:rsidR="008B28C5" w:rsidRPr="00D90BD6" w:rsidRDefault="008B28C5" w:rsidP="008B28C5">
            <w:pPr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H317: può causare una reazione allergica cutanea.</w:t>
            </w:r>
          </w:p>
          <w:p w:rsidR="005B3821" w:rsidRPr="00D90BD6" w:rsidRDefault="008B28C5" w:rsidP="008B28C5">
            <w:pPr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H318: provoca gravi lesioni oculari.</w:t>
            </w:r>
          </w:p>
          <w:p w:rsidR="00856DA2" w:rsidRPr="00D90BD6" w:rsidRDefault="00856DA2" w:rsidP="008B28C5">
            <w:pPr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H335: può irritare le vie respiratorie.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Pr="00D90BD6" w:rsidRDefault="005B3821">
            <w:pPr>
              <w:keepLines/>
              <w:spacing w:line="312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15.1.4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Pr="00D90BD6" w:rsidRDefault="00331BF6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Frasi P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5" w:rsidRPr="00D90BD6" w:rsidRDefault="008B28C5" w:rsidP="008B28C5">
            <w:pPr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P272: gli indumenti da lavoro contaminati non devono essere portati fuori dal luogo di lavoro.</w:t>
            </w:r>
          </w:p>
          <w:p w:rsidR="008B28C5" w:rsidRPr="00D90BD6" w:rsidRDefault="008B28C5" w:rsidP="008B28C5">
            <w:pPr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P280: indossare guanti/indumenti protettivi/protezione occhi.</w:t>
            </w:r>
          </w:p>
          <w:p w:rsidR="008B28C5" w:rsidRPr="00D90BD6" w:rsidRDefault="008B28C5" w:rsidP="008B28C5">
            <w:pPr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P305+P351+P338+P310: IN CASO DI CONTATTO CON GLI OCCHI: sciacquare accuratamente per parecchi minuti. Togliere le eventuali lenti a contatto se è agevole farlo. Continuare a sciacquare. Contattare immediatamente un centro di informazione tossicologica o un medico.</w:t>
            </w:r>
          </w:p>
          <w:p w:rsidR="008B28C5" w:rsidRPr="00D90BD6" w:rsidRDefault="008B28C5" w:rsidP="008B28C5">
            <w:pPr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P302+P352: IN CASO DI CONTATTO CON LA PELLE: lavare abbondantemente con acqua e sapone.</w:t>
            </w:r>
          </w:p>
          <w:p w:rsidR="008B28C5" w:rsidRPr="00D90BD6" w:rsidRDefault="008B28C5" w:rsidP="008B28C5">
            <w:pPr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P333+313: in caso di irritazione o eruzione della pelle: consultare un medico.</w:t>
            </w:r>
          </w:p>
          <w:p w:rsidR="005B3821" w:rsidRPr="00D90BD6" w:rsidRDefault="008B28C5" w:rsidP="00364315">
            <w:pPr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P102: tenere fuori dalla portata dei bambini.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15.1.5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Marcatura specifica di determinati preparati (conf. all'Allegato II della Direttiva per preparati pericolosi 88/379/CEE)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8B28C5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applicabili</w:t>
            </w:r>
          </w:p>
          <w:p w:rsidR="005B3821" w:rsidRPr="008B28C5" w:rsidRDefault="005B3821">
            <w:pPr>
              <w:keepLines/>
              <w:spacing w:line="312" w:lineRule="exact"/>
              <w:rPr>
                <w:rFonts w:ascii="Verdana" w:hAnsi="Verdana"/>
              </w:rPr>
            </w:pPr>
          </w:p>
          <w:p w:rsidR="005B3821" w:rsidRPr="008B28C5" w:rsidRDefault="005B3821">
            <w:pPr>
              <w:keepLines/>
              <w:spacing w:line="312" w:lineRule="exact"/>
              <w:rPr>
                <w:rFonts w:ascii="Verdana" w:hAnsi="Verdana"/>
              </w:rPr>
            </w:pPr>
          </w:p>
          <w:p w:rsidR="005B3821" w:rsidRPr="008B28C5" w:rsidRDefault="005B3821">
            <w:pPr>
              <w:keepLines/>
              <w:spacing w:line="312" w:lineRule="exact"/>
              <w:rPr>
                <w:rFonts w:ascii="Verdana" w:hAnsi="Verdana"/>
              </w:rPr>
            </w:pPr>
          </w:p>
          <w:p w:rsidR="005B3821" w:rsidRPr="008B28C5" w:rsidRDefault="005B3821">
            <w:pPr>
              <w:keepLines/>
              <w:spacing w:line="312" w:lineRule="exact"/>
              <w:rPr>
                <w:rFonts w:ascii="Verdana" w:hAnsi="Verdana"/>
              </w:rPr>
            </w:pPr>
          </w:p>
        </w:tc>
      </w:tr>
      <w:tr w:rsidR="005B3821" w:rsidTr="00B0609A">
        <w:trPr>
          <w:cantSplit/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15.2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Norme nazionali</w:t>
            </w:r>
          </w:p>
          <w:p w:rsidR="005B3821" w:rsidRDefault="005B3821" w:rsidP="005175C7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Ordinanza sulla protezione delle acque RS 814.201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7" w:rsidRDefault="005175C7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valore limite di introduzione in acque</w:t>
            </w:r>
            <w:r>
              <w:rPr>
                <w:rFonts w:ascii="Verdana" w:hAnsi="Verdana"/>
              </w:rPr>
              <w:br/>
              <w:t>o fognatura pH 6.5 – 9.0.</w:t>
            </w:r>
          </w:p>
          <w:p w:rsidR="003250AE" w:rsidRDefault="003250AE">
            <w:pPr>
              <w:keepLines/>
              <w:spacing w:line="312" w:lineRule="exact"/>
              <w:rPr>
                <w:rFonts w:ascii="Verdana" w:hAnsi="Verdana"/>
              </w:rPr>
            </w:pPr>
          </w:p>
          <w:p w:rsidR="003250AE" w:rsidRPr="008B28C5" w:rsidRDefault="003250AE" w:rsidP="0050018D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Rispettare le disposizioni particolari in conf. all'allegato 2.16 ORRPChim "Cromo(VI) in cementi". 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4"/>
              </w:rPr>
              <w:t>Altre informazioni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  <w:sz w:val="22"/>
              </w:rPr>
            </w:pP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16.1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Default="005B3821">
            <w:pPr>
              <w:pStyle w:val="Kopfzeile"/>
              <w:keepLines/>
              <w:tabs>
                <w:tab w:val="clear" w:pos="4536"/>
                <w:tab w:val="clear" w:pos="9072"/>
                <w:tab w:val="left" w:pos="5723"/>
              </w:tabs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indicazioni contenute nella presente scheda di sicurezza corrispondono al nostro stato di conoscenza attuale. Le condizioni di lavoro date per l'utilizzatore sfuggono tuttavia alla nostra conoscenza e controllo. L'utilizzatore è responsabile dell'osservanza di tutte le disposizioni di legge necessarie. Le indicazioni contenute nella presente scheda di sicurezza descrivono i requisiti di sicurezza del nostro prodotto e non rappresentano alcuna garanzia delle caratteristiche del prodotto.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Pr="00A94AD5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16.2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A94AD5" w:rsidRDefault="005B3821" w:rsidP="00A94AD5">
            <w:pPr>
              <w:pStyle w:val="Kopfzeile"/>
              <w:keepLines/>
              <w:tabs>
                <w:tab w:val="clear" w:pos="4536"/>
                <w:tab w:val="clear" w:pos="9072"/>
                <w:tab w:val="left" w:pos="5723"/>
              </w:tabs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Settore di compilazione della scheda: ASIC, Direzione tecnica</w:t>
            </w:r>
          </w:p>
        </w:tc>
      </w:tr>
      <w:tr w:rsidR="005B3821" w:rsidTr="003D3F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21" w:rsidRPr="00A94AD5" w:rsidRDefault="005B3821">
            <w:pPr>
              <w:keepLines/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16.3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21" w:rsidRPr="00A94AD5" w:rsidRDefault="005B3821" w:rsidP="001413C2">
            <w:pPr>
              <w:pStyle w:val="Kopfzeile"/>
              <w:keepLines/>
              <w:tabs>
                <w:tab w:val="clear" w:pos="4536"/>
                <w:tab w:val="clear" w:pos="9072"/>
                <w:tab w:val="left" w:pos="3394"/>
              </w:tabs>
              <w:spacing w:line="312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Modifiche:</w:t>
            </w:r>
            <w:r>
              <w:tab/>
            </w:r>
            <w:r>
              <w:rPr>
                <w:rFonts w:ascii="Verdana" w:hAnsi="Verdana"/>
              </w:rPr>
              <w:t>-</w:t>
            </w:r>
          </w:p>
        </w:tc>
      </w:tr>
    </w:tbl>
    <w:p w:rsidR="005B3821" w:rsidRDefault="005B3821" w:rsidP="00291BA4">
      <w:pPr>
        <w:pStyle w:val="berschrift1"/>
        <w:rPr>
          <w:rFonts w:ascii="Verdana" w:hAnsi="Verdana"/>
        </w:rPr>
      </w:pPr>
    </w:p>
    <w:sectPr w:rsidR="005B3821" w:rsidSect="00F72A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425" w:footer="720" w:gutter="0"/>
      <w:pgNumType w:start="1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7B" w:rsidRDefault="00924F7B">
      <w:r>
        <w:separator/>
      </w:r>
    </w:p>
  </w:endnote>
  <w:endnote w:type="continuationSeparator" w:id="0">
    <w:p w:rsidR="00924F7B" w:rsidRDefault="0092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21" w:rsidRDefault="005B38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54B3">
      <w:rPr>
        <w:rStyle w:val="Seitenzahl"/>
        <w:noProof/>
      </w:rPr>
      <w:t>6</w:t>
    </w:r>
    <w:r>
      <w:rPr>
        <w:rStyle w:val="Seitenzahl"/>
      </w:rPr>
      <w:fldChar w:fldCharType="end"/>
    </w:r>
  </w:p>
  <w:p w:rsidR="005B3821" w:rsidRDefault="005B382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21" w:rsidRPr="000C241C" w:rsidRDefault="00635E3A" w:rsidP="00B01306">
    <w:pPr>
      <w:pStyle w:val="Fuzeile"/>
      <w:tabs>
        <w:tab w:val="left" w:pos="1701"/>
      </w:tabs>
      <w:ind w:right="-285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Aggiornata al 22 </w:t>
    </w:r>
    <w:r w:rsidR="001728CE">
      <w:rPr>
        <w:rFonts w:ascii="Verdana" w:hAnsi="Verdana"/>
        <w:sz w:val="16"/>
      </w:rPr>
      <w:t xml:space="preserve">novembre </w:t>
    </w:r>
    <w:bookmarkStart w:id="0" w:name="_GoBack"/>
    <w:bookmarkEnd w:id="0"/>
    <w:r>
      <w:rPr>
        <w:rFonts w:ascii="Verdana" w:hAnsi="Verdana"/>
        <w:sz w:val="16"/>
      </w:rPr>
      <w:t>201</w:t>
    </w:r>
    <w:r w:rsidR="001728CE">
      <w:rPr>
        <w:rFonts w:ascii="Verdana" w:hAnsi="Verdana"/>
        <w:sz w:val="16"/>
      </w:rPr>
      <w:t>6</w:t>
    </w:r>
    <w:r w:rsidR="001728CE">
      <w:rPr>
        <w:rFonts w:ascii="Verdana" w:hAnsi="Verdana"/>
        <w:sz w:val="16"/>
      </w:rPr>
      <w:tab/>
    </w:r>
    <w:r w:rsidR="001728CE">
      <w:rPr>
        <w:rFonts w:ascii="Verdana" w:hAnsi="Verdana"/>
        <w:sz w:val="16"/>
      </w:rPr>
      <w:tab/>
    </w:r>
    <w:r>
      <w:rPr>
        <w:rFonts w:ascii="Verdana" w:hAnsi="Verdana"/>
        <w:sz w:val="16"/>
      </w:rPr>
      <w:t xml:space="preserve">Pagina </w:t>
    </w:r>
    <w:r w:rsidR="00B01306" w:rsidRPr="000C241C">
      <w:rPr>
        <w:rFonts w:ascii="Verdana" w:hAnsi="Verdana" w:cs="Arial"/>
        <w:bCs/>
        <w:sz w:val="16"/>
      </w:rPr>
      <w:fldChar w:fldCharType="begin"/>
    </w:r>
    <w:r w:rsidR="00B01306" w:rsidRPr="000C241C">
      <w:rPr>
        <w:rFonts w:ascii="Verdana" w:hAnsi="Verdana" w:cs="Arial"/>
        <w:bCs/>
        <w:sz w:val="16"/>
      </w:rPr>
      <w:instrText>PAGE  \* Arabic  \* MERGEFORMAT</w:instrText>
    </w:r>
    <w:r w:rsidR="00B01306" w:rsidRPr="000C241C">
      <w:rPr>
        <w:rFonts w:ascii="Verdana" w:hAnsi="Verdana" w:cs="Arial"/>
        <w:bCs/>
        <w:sz w:val="16"/>
      </w:rPr>
      <w:fldChar w:fldCharType="separate"/>
    </w:r>
    <w:r w:rsidR="00714FE8">
      <w:rPr>
        <w:rFonts w:ascii="Verdana" w:hAnsi="Verdana" w:cs="Arial"/>
        <w:bCs/>
        <w:noProof/>
        <w:sz w:val="16"/>
      </w:rPr>
      <w:t>1</w:t>
    </w:r>
    <w:r w:rsidR="00B01306" w:rsidRPr="000C241C">
      <w:rPr>
        <w:rFonts w:ascii="Verdana" w:hAnsi="Verdana" w:cs="Arial"/>
        <w:bCs/>
        <w:sz w:val="16"/>
      </w:rPr>
      <w:fldChar w:fldCharType="end"/>
    </w:r>
    <w:r>
      <w:rPr>
        <w:rFonts w:ascii="Verdana" w:hAnsi="Verdana"/>
        <w:sz w:val="16"/>
      </w:rPr>
      <w:t xml:space="preserve"> di </w:t>
    </w:r>
    <w:r w:rsidR="00B01306" w:rsidRPr="000C241C">
      <w:rPr>
        <w:rFonts w:ascii="Verdana" w:hAnsi="Verdana" w:cs="Arial"/>
        <w:bCs/>
        <w:sz w:val="16"/>
      </w:rPr>
      <w:fldChar w:fldCharType="begin"/>
    </w:r>
    <w:r w:rsidR="00B01306" w:rsidRPr="000C241C">
      <w:rPr>
        <w:rFonts w:ascii="Verdana" w:hAnsi="Verdana" w:cs="Arial"/>
        <w:bCs/>
        <w:sz w:val="16"/>
      </w:rPr>
      <w:instrText>NUMPAGES  \* Arabic  \* MERGEFORMAT</w:instrText>
    </w:r>
    <w:r w:rsidR="00B01306" w:rsidRPr="000C241C">
      <w:rPr>
        <w:rFonts w:ascii="Verdana" w:hAnsi="Verdana" w:cs="Arial"/>
        <w:bCs/>
        <w:sz w:val="16"/>
      </w:rPr>
      <w:fldChar w:fldCharType="separate"/>
    </w:r>
    <w:r w:rsidR="00714FE8">
      <w:rPr>
        <w:rFonts w:ascii="Verdana" w:hAnsi="Verdana" w:cs="Arial"/>
        <w:bCs/>
        <w:noProof/>
        <w:sz w:val="16"/>
      </w:rPr>
      <w:t>7</w:t>
    </w:r>
    <w:r w:rsidR="00B01306" w:rsidRPr="000C241C">
      <w:rPr>
        <w:rFonts w:ascii="Verdana" w:hAnsi="Verdana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CE" w:rsidRDefault="001728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7B" w:rsidRDefault="00924F7B">
      <w:r>
        <w:separator/>
      </w:r>
    </w:p>
  </w:footnote>
  <w:footnote w:type="continuationSeparator" w:id="0">
    <w:p w:rsidR="00924F7B" w:rsidRDefault="0092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CE" w:rsidRDefault="001728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22"/>
    </w:tblGrid>
    <w:tr w:rsidR="005B3821">
      <w:trPr>
        <w:trHeight w:val="695"/>
      </w:trPr>
      <w:tc>
        <w:tcPr>
          <w:tcW w:w="7016" w:type="dxa"/>
          <w:tcBorders>
            <w:top w:val="nil"/>
            <w:left w:val="nil"/>
            <w:bottom w:val="nil"/>
            <w:right w:val="nil"/>
          </w:tcBorders>
        </w:tcPr>
        <w:p w:rsidR="005B3821" w:rsidRDefault="005B3821">
          <w:pPr>
            <w:spacing w:line="240" w:lineRule="atLeast"/>
            <w:ind w:right="-210"/>
            <w:rPr>
              <w:rFonts w:ascii="Verdana" w:hAnsi="Verdana"/>
              <w:b/>
              <w:i/>
              <w:sz w:val="28"/>
            </w:rPr>
          </w:pPr>
          <w:r>
            <w:rPr>
              <w:rFonts w:ascii="Verdana" w:hAnsi="Verdana"/>
              <w:b/>
              <w:i/>
              <w:sz w:val="28"/>
            </w:rPr>
            <w:br/>
            <w:t>Scheda di sicurezza per calcestruzzo fresco</w:t>
          </w:r>
        </w:p>
        <w:p w:rsidR="005B3821" w:rsidRDefault="005B3821">
          <w:pPr>
            <w:spacing w:line="240" w:lineRule="atLeast"/>
            <w:ind w:right="-210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</w:rPr>
            <w:t>conforme al regolamento (CE) n. 1907 / 2006 (REACH)</w:t>
          </w:r>
        </w:p>
      </w:tc>
      <w:tc>
        <w:tcPr>
          <w:tcW w:w="2622" w:type="dxa"/>
          <w:tcBorders>
            <w:top w:val="nil"/>
            <w:left w:val="nil"/>
            <w:bottom w:val="nil"/>
            <w:right w:val="nil"/>
          </w:tcBorders>
        </w:tcPr>
        <w:p w:rsidR="005B3821" w:rsidRDefault="005B3821" w:rsidP="002A0A03">
          <w:pPr>
            <w:spacing w:line="240" w:lineRule="atLeast"/>
            <w:ind w:right="-210"/>
            <w:rPr>
              <w:rFonts w:ascii="Verdana" w:hAnsi="Verdana"/>
              <w:i/>
            </w:rPr>
          </w:pPr>
          <w:r>
            <w:rPr>
              <w:rFonts w:ascii="Verdana" w:hAnsi="Verdana"/>
              <w:sz w:val="16"/>
            </w:rPr>
            <w:t xml:space="preserve"> </w:t>
          </w:r>
        </w:p>
      </w:tc>
    </w:tr>
  </w:tbl>
  <w:p w:rsidR="005B3821" w:rsidRDefault="005B3821">
    <w:pPr>
      <w:spacing w:line="240" w:lineRule="atLeast"/>
      <w:ind w:right="-210"/>
      <w:rPr>
        <w:rFonts w:ascii="Arial" w:hAnsi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CE" w:rsidRDefault="001728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B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0B0D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7361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250B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BA46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2304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A165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F3D41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0" w:nlCheck="1" w:checkStyle="0"/>
  <w:activeWritingStyle w:appName="MSWord" w:lang="de-CH" w:vendorID="64" w:dllVersion="0" w:nlCheck="1" w:checkStyle="1"/>
  <w:activeWritingStyle w:appName="MSWord" w:lang="de-DE" w:vendorID="64" w:dllVersion="0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9A"/>
    <w:rsid w:val="00022FC1"/>
    <w:rsid w:val="00047680"/>
    <w:rsid w:val="000746D7"/>
    <w:rsid w:val="000B6FB9"/>
    <w:rsid w:val="000C241C"/>
    <w:rsid w:val="000E33FB"/>
    <w:rsid w:val="00112C3A"/>
    <w:rsid w:val="001230DE"/>
    <w:rsid w:val="00123DE8"/>
    <w:rsid w:val="00123F2B"/>
    <w:rsid w:val="00140B86"/>
    <w:rsid w:val="001413C2"/>
    <w:rsid w:val="0016406C"/>
    <w:rsid w:val="0016748C"/>
    <w:rsid w:val="001679D9"/>
    <w:rsid w:val="001728CE"/>
    <w:rsid w:val="001B4343"/>
    <w:rsid w:val="001C65FF"/>
    <w:rsid w:val="001C7AB4"/>
    <w:rsid w:val="001D1C22"/>
    <w:rsid w:val="002563E7"/>
    <w:rsid w:val="00273D0E"/>
    <w:rsid w:val="00291BA4"/>
    <w:rsid w:val="00293DD8"/>
    <w:rsid w:val="00295AC1"/>
    <w:rsid w:val="002A0A03"/>
    <w:rsid w:val="002A5310"/>
    <w:rsid w:val="003250AE"/>
    <w:rsid w:val="003262CF"/>
    <w:rsid w:val="00331BF6"/>
    <w:rsid w:val="00342059"/>
    <w:rsid w:val="00361913"/>
    <w:rsid w:val="00364315"/>
    <w:rsid w:val="003B0A0F"/>
    <w:rsid w:val="003B524A"/>
    <w:rsid w:val="003D3F2D"/>
    <w:rsid w:val="00402075"/>
    <w:rsid w:val="00405A41"/>
    <w:rsid w:val="0046366C"/>
    <w:rsid w:val="0048780A"/>
    <w:rsid w:val="004E5205"/>
    <w:rsid w:val="0050018D"/>
    <w:rsid w:val="00501EA4"/>
    <w:rsid w:val="005175C7"/>
    <w:rsid w:val="005327FC"/>
    <w:rsid w:val="00561953"/>
    <w:rsid w:val="00583C8D"/>
    <w:rsid w:val="00597CD1"/>
    <w:rsid w:val="005B3821"/>
    <w:rsid w:val="005B44B5"/>
    <w:rsid w:val="005D0812"/>
    <w:rsid w:val="005F3CB4"/>
    <w:rsid w:val="006177C8"/>
    <w:rsid w:val="00634288"/>
    <w:rsid w:val="00635E3A"/>
    <w:rsid w:val="006465A0"/>
    <w:rsid w:val="006965B8"/>
    <w:rsid w:val="006B7AC6"/>
    <w:rsid w:val="007123C9"/>
    <w:rsid w:val="00714FE8"/>
    <w:rsid w:val="00750AB0"/>
    <w:rsid w:val="007604BA"/>
    <w:rsid w:val="00765702"/>
    <w:rsid w:val="007A0C75"/>
    <w:rsid w:val="007A1389"/>
    <w:rsid w:val="007A4D9C"/>
    <w:rsid w:val="007A7E9C"/>
    <w:rsid w:val="007B36D6"/>
    <w:rsid w:val="0080627D"/>
    <w:rsid w:val="0081546C"/>
    <w:rsid w:val="00820150"/>
    <w:rsid w:val="0084314B"/>
    <w:rsid w:val="00853C54"/>
    <w:rsid w:val="00854A52"/>
    <w:rsid w:val="00856DA2"/>
    <w:rsid w:val="00894F93"/>
    <w:rsid w:val="008B28C5"/>
    <w:rsid w:val="008B4E3D"/>
    <w:rsid w:val="008C32D0"/>
    <w:rsid w:val="00924F7B"/>
    <w:rsid w:val="009554EF"/>
    <w:rsid w:val="00956C0B"/>
    <w:rsid w:val="0096279A"/>
    <w:rsid w:val="00963AB3"/>
    <w:rsid w:val="00A252EF"/>
    <w:rsid w:val="00A8069F"/>
    <w:rsid w:val="00A94AD5"/>
    <w:rsid w:val="00B01306"/>
    <w:rsid w:val="00B0609A"/>
    <w:rsid w:val="00B50B48"/>
    <w:rsid w:val="00B57A56"/>
    <w:rsid w:val="00B60732"/>
    <w:rsid w:val="00B85427"/>
    <w:rsid w:val="00BC6F45"/>
    <w:rsid w:val="00BC7CEA"/>
    <w:rsid w:val="00BD12A5"/>
    <w:rsid w:val="00BE05FF"/>
    <w:rsid w:val="00BE4ACE"/>
    <w:rsid w:val="00C677BD"/>
    <w:rsid w:val="00C864B6"/>
    <w:rsid w:val="00C95C29"/>
    <w:rsid w:val="00CB149A"/>
    <w:rsid w:val="00CB3F0C"/>
    <w:rsid w:val="00CD78C2"/>
    <w:rsid w:val="00CF014A"/>
    <w:rsid w:val="00D60F1E"/>
    <w:rsid w:val="00D90BD6"/>
    <w:rsid w:val="00DA0D80"/>
    <w:rsid w:val="00DB559E"/>
    <w:rsid w:val="00DD6EC5"/>
    <w:rsid w:val="00E254B3"/>
    <w:rsid w:val="00E47D74"/>
    <w:rsid w:val="00E52819"/>
    <w:rsid w:val="00E63B64"/>
    <w:rsid w:val="00E6582B"/>
    <w:rsid w:val="00EE30E0"/>
    <w:rsid w:val="00F05A59"/>
    <w:rsid w:val="00F51B76"/>
    <w:rsid w:val="00F72903"/>
    <w:rsid w:val="00F72AF7"/>
    <w:rsid w:val="00F91EFF"/>
    <w:rsid w:val="00FA419F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E77B399"/>
  <w15:docId w15:val="{D78AE765-F8B6-466A-9389-9A4E92DC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</w:tabs>
      <w:spacing w:line="240" w:lineRule="atLeas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12" w:lineRule="exact"/>
      <w:outlineLvl w:val="1"/>
    </w:pPr>
    <w:rPr>
      <w:rFonts w:ascii="Helvetica" w:hAnsi="Helvetica"/>
      <w:b/>
      <w:sz w:val="24"/>
    </w:rPr>
  </w:style>
  <w:style w:type="paragraph" w:styleId="berschrift3">
    <w:name w:val="heading 3"/>
    <w:basedOn w:val="Standard"/>
    <w:next w:val="Standard"/>
    <w:qFormat/>
    <w:pPr>
      <w:keepNext/>
      <w:keepLines/>
      <w:spacing w:line="312" w:lineRule="exact"/>
      <w:outlineLvl w:val="2"/>
    </w:pPr>
    <w:rPr>
      <w:rFonts w:ascii="Helvetica" w:hAnsi="Helvetica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91B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91B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91B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851"/>
        <w:tab w:val="left" w:pos="3969"/>
      </w:tabs>
      <w:spacing w:line="312" w:lineRule="exact"/>
      <w:ind w:left="855" w:hanging="855"/>
    </w:pPr>
    <w:rPr>
      <w:rFonts w:ascii="Helvetica" w:hAnsi="Helvetica"/>
      <w:sz w:val="22"/>
    </w:rPr>
  </w:style>
  <w:style w:type="paragraph" w:styleId="Textkrper">
    <w:name w:val="Body Text"/>
    <w:basedOn w:val="Standard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170"/>
        <w:tab w:val="bar" w:pos="2835"/>
        <w:tab w:val="left" w:pos="3005"/>
        <w:tab w:val="bar" w:pos="5670"/>
        <w:tab w:val="center" w:pos="6521"/>
        <w:tab w:val="bar" w:pos="7371"/>
        <w:tab w:val="center" w:pos="8222"/>
      </w:tabs>
      <w:spacing w:line="240" w:lineRule="atLeast"/>
    </w:pPr>
    <w:rPr>
      <w:rFonts w:ascii="Helvetica" w:hAnsi="Helvetica"/>
      <w:sz w:val="18"/>
    </w:rPr>
  </w:style>
  <w:style w:type="paragraph" w:styleId="Textkrper2">
    <w:name w:val="Body Text 2"/>
    <w:basedOn w:val="Standard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1134"/>
        <w:tab w:val="left" w:pos="4253"/>
      </w:tabs>
      <w:spacing w:line="312" w:lineRule="exact"/>
    </w:pPr>
    <w:rPr>
      <w:rFonts w:ascii="Helvetica" w:hAnsi="Helvetica"/>
      <w:sz w:val="22"/>
    </w:rPr>
  </w:style>
  <w:style w:type="paragraph" w:styleId="Textkrper-Einzug2">
    <w:name w:val="Body Text Indent 2"/>
    <w:basedOn w:val="Standard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709"/>
        <w:tab w:val="left" w:pos="3969"/>
      </w:tabs>
      <w:spacing w:line="312" w:lineRule="exact"/>
      <w:ind w:left="708" w:hanging="708"/>
    </w:pPr>
    <w:rPr>
      <w:rFonts w:ascii="Helvetica" w:hAnsi="Helvetica"/>
      <w:sz w:val="22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Helvetica" w:hAnsi="Helvetica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pPr>
      <w:keepLines/>
      <w:spacing w:line="312" w:lineRule="exact"/>
      <w:ind w:left="214" w:hanging="214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5B382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1BA4"/>
    <w:rPr>
      <w:rFonts w:asciiTheme="majorHAnsi" w:eastAsiaTheme="majorEastAsia" w:hAnsiTheme="majorHAnsi" w:cstheme="majorBidi"/>
      <w:i/>
      <w:iCs/>
      <w:color w:val="2E74B5" w:themeColor="accent1" w:themeShade="BF"/>
      <w:lang w:eastAsia="it-I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91BA4"/>
    <w:rPr>
      <w:rFonts w:asciiTheme="majorHAnsi" w:eastAsiaTheme="majorEastAsia" w:hAnsiTheme="majorHAnsi" w:cstheme="majorBidi"/>
      <w:color w:val="2E74B5" w:themeColor="accent1" w:themeShade="BF"/>
      <w:lang w:eastAsia="it-I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91BA4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0B6FB9"/>
    <w:rPr>
      <w:lang w:eastAsia="it-IT"/>
    </w:rPr>
  </w:style>
  <w:style w:type="character" w:styleId="BesuchterLink">
    <w:name w:val="FollowedHyperlink"/>
    <w:basedOn w:val="Absatz-Standardschriftart"/>
    <w:uiPriority w:val="99"/>
    <w:semiHidden/>
    <w:unhideWhenUsed/>
    <w:rsid w:val="008C3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5988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FAXJ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40B9-0485-4151-BBC0-689522E7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FAXJS</Template>
  <TotalTime>0</TotalTime>
  <Pages>7</Pages>
  <Words>1283</Words>
  <Characters>8267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Sicherheitsdabenblatt</vt:lpstr>
      <vt:lpstr>Sicherheitsdabenblatt</vt:lpstr>
    </vt:vector>
  </TitlesOfParts>
  <Company>FSKB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Sicherheitsdabenblatt</dc:title>
  <dc:subject>für Beton</dc:subject>
  <dc:creator>Mathias Breimesser</dc:creator>
  <cp:lastModifiedBy>Spüehler Patricia (FSKB)</cp:lastModifiedBy>
  <cp:revision>4</cp:revision>
  <cp:lastPrinted>2015-05-12T06:09:00Z</cp:lastPrinted>
  <dcterms:created xsi:type="dcterms:W3CDTF">2016-11-22T09:00:00Z</dcterms:created>
  <dcterms:modified xsi:type="dcterms:W3CDTF">2016-11-22T09:07:00Z</dcterms:modified>
</cp:coreProperties>
</file>